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Baltzer</w:t>
      </w:r>
      <w:r>
        <w:rPr>
          <w:vertAlign w:val="superscript"/>
        </w:rPr>
        <w:t xml:space="preserve">wl</w:t>
      </w:r>
      <w:r>
        <w:t xml:space="preserve">,</w:t>
      </w:r>
      <w:r>
        <w:t xml:space="preserve"> </w:t>
      </w:r>
      <w:r>
        <w:t xml:space="preserve">Patrick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To predict annual tree growth or forest productivity based on climate, a necessary first step is identification of the most important climate variables, the time frames over which they have the strongest influence over annual growth, and their additive or interactive effects.</w:t>
      </w:r>
      <w:r>
        <w:t xml:space="preserve"> </w:t>
      </w:r>
      <w:r>
        <w:t xml:space="preserve">Traditional dendrochronological methods identify climate signals by examining month-by-month correlations of ring-width index chronologies to select climate variables–most commonly temperature, precipitation, or a moisture index (PDSI or SPEI)–over the current year and, typically, previous year</w:t>
      </w:r>
      <w:r>
        <w:t xml:space="preserve"> </w:t>
      </w:r>
      <w:r>
        <w:t xml:space="preserve">(e.g., Fritts, 1976; Zang &amp; Biondi, 2015)</w:t>
      </w:r>
      <w:r>
        <w:t xml:space="preserve">.</w:t>
      </w:r>
      <w:r>
        <w:t xml:space="preserve"> </w:t>
      </w:r>
      <w:r>
        <w:t xml:space="preserve">While appropriate for identifying the strongest correlation between tree growth and an individual climate variable for purposes such as historical climate reconstructions</w:t>
      </w:r>
      <w:r>
        <w:t xml:space="preserve"> </w:t>
      </w:r>
      <w:r>
        <w:t xml:space="preserve">(e.g., Pederson et al., 2013; Maxwell &amp; Harley, 2017)</w:t>
      </w:r>
      <w:r>
        <w:t xml:space="preserve"> </w:t>
      </w:r>
      <w:r>
        <w:t xml:space="preserve">and for describing how each month’s climate affects tree growth or productivity</w:t>
      </w:r>
      <w:r>
        <w:t xml:space="preserve"> </w:t>
      </w:r>
      <w:r>
        <w:t xml:space="preserve">(e.g., Helcoski et al., 2019)</w:t>
      </w:r>
      <w:r>
        <w:t xml:space="preserve">, this approach falls short of objectively identifying the most important climate drivers and their time windows of influence, which is needed for multivariate models of annual tree growth and forest productivity</w:t>
      </w:r>
      <w:r>
        <w:t xml:space="preserve"> </w:t>
      </w:r>
      <w:r>
        <w:t xml:space="preserve">(e.g., Teets et al., 2018)</w:t>
      </w:r>
      <w:r>
        <w:t xml:space="preserve">.</w:t>
      </w:r>
      <w:r>
        <w:t xml:space="preserve"> </w:t>
      </w:r>
      <w:r>
        <w:t xml:space="preserve">Further, tree-ring studies generally do not consider additive or interactive effects of climate variables on annual growth</w:t>
      </w:r>
      <w:r>
        <w:t xml:space="preserve"> </w:t>
      </w:r>
      <w:r>
        <w:t xml:space="preserve">(DENDRO_REFS; but see Foster, Finley, D’Amato, Bradford, &amp; Banerjee, 2016)</w:t>
      </w:r>
      <w:r>
        <w:t xml:space="preserve">.</w:t>
      </w:r>
      <w:r>
        <w:t xml:space="preserve"> </w:t>
      </w:r>
      <w:r>
        <w:t xml:space="preserve">Such effects are expected based on observations that temperature and moisture jointly shape photosynthesis (REFS), tree growth</w:t>
      </w:r>
      <w:r>
        <w:t xml:space="preserve"> </w:t>
      </w:r>
      <w:r>
        <w:t xml:space="preserve">(Beedlow, Lee, Tingey, Waschmann, &amp; Burdick, 2013; Foster et al., 2016)</w:t>
      </w:r>
      <w:r>
        <w:t xml:space="preserve">, and forest productivity</w:t>
      </w:r>
      <w:r>
        <w:t xml:space="preserve"> </w:t>
      </w:r>
      <w:r>
        <w:t xml:space="preserve">(e.g., Alexander, Rollinson, Babst, Trouet, &amp; Moore, 2018; Banbury Morgan et al., n.d.)</w:t>
      </w:r>
      <w:r>
        <w:t xml:space="preserve">.</w:t>
      </w:r>
      <w:r>
        <w:t xml:space="preserve"> </w:t>
      </w:r>
      <w:r>
        <w:t xml:space="preserve">Thus, to model tree growth responses to climate, we need an objective approach to systematically evaluate numerous potential climate variables and time windows in order to select principle climate drivers appropriate for inclusion in multivariate models.</w:t>
      </w:r>
    </w:p>
    <w:p>
      <w:pPr>
        <w:pStyle w:val="BodyText"/>
      </w:pPr>
      <w:r>
        <w:rPr>
          <w:b/>
        </w:rPr>
        <w:t xml:space="preserve">Traditional dendrochronological methods focus on linear climate responses and the settings in which these occur, potentially missing widespread nonlinearities within forest settings, which have been widely observed at other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rare</w:t>
      </w:r>
      <w:r>
        <w:t xml:space="preserve"> </w:t>
      </w:r>
      <w:r>
        <w:t xml:space="preserve">(Tolwinski-Ward, Anchukaitis, &amp; Evans, 2013; Tumajer et al., 2017)</w:t>
      </w:r>
      <w:r>
        <w:t xml:space="preserve">, and we therefore know little about what, if any, nonlinearities in the growth responses to interannual variation in climate occur for trees within forest settings.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McDowell, Allen, &amp; Anderson-Teixeira,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some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S4).</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S3.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S3), but with the advantage that</w:t>
      </w:r>
      <w:r>
        <w:rPr>
          <w:b/>
        </w:rPr>
        <w:t xml:space="preserve"> </w:t>
      </w:r>
      <w:r>
        <w:rPr>
          <w:i/>
          <w:b/>
        </w:rPr>
        <w:t xml:space="preserve">climwin</w:t>
      </w:r>
      <w:r>
        <w:rPr>
          <w:b/>
        </w:rPr>
        <w:t xml:space="preserve"> </w:t>
      </w:r>
      <w:r>
        <w:rPr>
          <w:b/>
        </w:rPr>
        <w:t xml:space="preserve">allowed automated,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t xml:space="preserve">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m:oMath>
        <m:sSub>
          <m:e>
            <m:r>
              <m:t>T</m:t>
            </m:r>
          </m:e>
          <m:sub>
            <m:r>
              <m:t>m</m:t>
            </m:r>
            <m:r>
              <m:t>a</m:t>
            </m:r>
            <m:r>
              <m:t>x</m:t>
            </m:r>
          </m:sub>
        </m:sSub>
      </m:oMath>
      <w:r>
        <w:t xml:space="preserve"> </w:t>
      </w:r>
      <w:r>
        <w:t xml:space="preserve">and</w:t>
      </w:r>
      <w:r>
        <w:t xml:space="preserve"> </w:t>
      </w:r>
      <m:oMath>
        <m:r>
          <m:t>P</m:t>
        </m:r>
        <m:r>
          <m:t>E</m:t>
        </m:r>
        <m:r>
          <m:t>T</m:t>
        </m:r>
      </m:oMath>
      <w:r>
        <w:t xml:space="preserve"> </w:t>
      </w:r>
      <w:r>
        <w:t xml:space="preserve">tend to be better variables than the more commonly used</w:t>
      </w:r>
      <w:r>
        <w:t xml:space="preserve"> </w:t>
      </w:r>
      <m:oMath>
        <m:sSub>
          <m:e>
            <m:r>
              <m:t>T</m:t>
            </m:r>
          </m:e>
          <m:sub>
            <m:r>
              <m:t>m</m:t>
            </m:r>
            <m:r>
              <m:t>e</m:t>
            </m:r>
            <m:r>
              <m:t>a</m:t>
            </m:r>
            <m:r>
              <m:t>n</m:t>
            </m:r>
          </m:sub>
        </m:sSub>
      </m:oMath>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generally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open-grown trees (</w:t>
      </w:r>
      <w:r>
        <w:rPr>
          <w:i/>
        </w:rPr>
        <w:t xml:space="preserve">DENDRO_REFS: See refs in Biondi and Qeadan 2008. Tree-Ring Research 64:81-96.</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57"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7"/>
    <w:bookmarkStart w:id="168" w:name="references"/>
    <w:p>
      <w:pPr>
        <w:pStyle w:val="Heading1"/>
      </w:pPr>
      <w:r>
        <w:t xml:space="preserve">References</w:t>
      </w:r>
    </w:p>
    <w:bookmarkStart w:id="167" w:name="refs"/>
    <w:bookmarkStart w:id="59"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8">
        <w:r>
          <w:rPr>
            <w:rStyle w:val="Hyperlink"/>
          </w:rPr>
          <w:t xml:space="preserve">10.1017/qua.2019.33</w:t>
        </w:r>
      </w:hyperlink>
    </w:p>
    <w:bookmarkEnd w:id="59"/>
    <w:bookmarkStart w:id="61"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60">
        <w:r>
          <w:rPr>
            <w:rStyle w:val="Hyperlink"/>
          </w:rPr>
          <w:t xml:space="preserve">10.1007/s00468-017-1629-0</w:t>
        </w:r>
      </w:hyperlink>
    </w:p>
    <w:bookmarkEnd w:id="61"/>
    <w:bookmarkStart w:id="63" w:name="X7472afe191c4e6f910d2bf0bfbf82e114a2f267"/>
    <w:p>
      <w:pPr>
        <w:pStyle w:val="Bibliography"/>
      </w:pPr>
      <w:r>
        <w:t xml:space="preserve">Anderson-Teixeira, K., Gonzalez, B., ForestGEO, McGregor, I., Gonzalez-Akre, E., RHelcoski, … Camerondow35. (2020, September). Forestgeo/Climate: Initial release. Zenodo. doi:</w:t>
      </w:r>
      <w:hyperlink r:id="rId62">
        <w:r>
          <w:rPr>
            <w:rStyle w:val="Hyperlink"/>
          </w:rPr>
          <w:t xml:space="preserve">10.5281/ZENODO.3958215</w:t>
        </w:r>
      </w:hyperlink>
    </w:p>
    <w:bookmarkEnd w:id="63"/>
    <w:bookmarkStart w:id="65"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4">
        <w:r>
          <w:rPr>
            <w:rStyle w:val="Hyperlink"/>
          </w:rPr>
          <w:t xml:space="preserve">10.1111/gcb.12712</w:t>
        </w:r>
      </w:hyperlink>
    </w:p>
    <w:bookmarkEnd w:id="65"/>
    <w:bookmarkStart w:id="67"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6">
        <w:r>
          <w:rPr>
            <w:rStyle w:val="Hyperlink"/>
          </w:rPr>
          <w:t xml:space="preserve">10.1111/1365-2435.12470</w:t>
        </w:r>
      </w:hyperlink>
    </w:p>
    <w:bookmarkEnd w:id="67"/>
    <w:bookmarkStart w:id="68"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9">
        <w:r>
          <w:rPr>
            <w:rStyle w:val="Hyperlink"/>
          </w:rPr>
          <w:t xml:space="preserve">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1">
        <w:r>
          <w:rPr>
            <w:rStyle w:val="Hyperlink"/>
          </w:rPr>
          <w:t xml:space="preserve">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4">
        <w:r>
          <w:rPr>
            <w:rStyle w:val="Hyperlink"/>
          </w:rPr>
          <w:t xml:space="preserve">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6">
        <w:r>
          <w:rPr>
            <w:rStyle w:val="Hyperlink"/>
          </w:rPr>
          <w:t xml:space="preserve">10.1038/nplants.2015.139</w:t>
        </w:r>
      </w:hyperlink>
    </w:p>
    <w:bookmarkEnd w:id="77"/>
    <w:bookmarkStart w:id="78"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8"/>
    <w:bookmarkStart w:id="80"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9">
        <w:r>
          <w:rPr>
            <w:rStyle w:val="Hyperlink"/>
          </w:rPr>
          <w:t xml:space="preserve">10.1139/cjfr-2018-0206</w:t>
        </w:r>
      </w:hyperlink>
    </w:p>
    <w:bookmarkEnd w:id="80"/>
    <w:bookmarkStart w:id="82"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1">
        <w:r>
          <w:rPr>
            <w:rStyle w:val="Hyperlink"/>
          </w:rPr>
          <w:t xml:space="preserve">10.1111/gcb.13535</w:t>
        </w:r>
      </w:hyperlink>
    </w:p>
    <w:bookmarkEnd w:id="82"/>
    <w:bookmarkStart w:id="84"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3">
        <w:r>
          <w:rPr>
            <w:rStyle w:val="Hyperlink"/>
          </w:rPr>
          <w:t xml:space="preserve">10.1111/ele.12650</w:t>
        </w:r>
      </w:hyperlink>
    </w:p>
    <w:bookmarkEnd w:id="84"/>
    <w:bookmarkStart w:id="8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5">
        <w:r>
          <w:rPr>
            <w:rStyle w:val="Hyperlink"/>
          </w:rPr>
          <w:t xml:space="preserve">10.1177/095968369700700314</w:t>
        </w:r>
      </w:hyperlink>
    </w:p>
    <w:bookmarkEnd w:id="86"/>
    <w:bookmarkStart w:id="88"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7">
        <w:r>
          <w:rPr>
            <w:rStyle w:val="Hyperlink"/>
          </w:rPr>
          <w:t xml:space="preserve">10.1038/s41467-020-14300-5</w:t>
        </w:r>
      </w:hyperlink>
    </w:p>
    <w:bookmarkEnd w:id="88"/>
    <w:bookmarkStart w:id="89"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90">
        <w:r>
          <w:rPr>
            <w:rStyle w:val="Hyperlink"/>
          </w:rPr>
          <w:t xml:space="preserve">10.1007/s10584-009-9594-2</w:t>
        </w:r>
      </w:hyperlink>
    </w:p>
    <w:bookmarkEnd w:id="91"/>
    <w:bookmarkStart w:id="93"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2">
        <w:r>
          <w:rPr>
            <w:rStyle w:val="Hyperlink"/>
          </w:rPr>
          <w:t xml:space="preserve">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4">
        <w:r>
          <w:rPr>
            <w:rStyle w:val="Hyperlink"/>
          </w:rPr>
          <w:t xml:space="preserve">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6">
        <w:r>
          <w:rPr>
            <w:rStyle w:val="Hyperlink"/>
          </w:rPr>
          <w:t xml:space="preserve">10.1111/gcb.13208</w:t>
        </w:r>
      </w:hyperlink>
    </w:p>
    <w:bookmarkEnd w:id="97"/>
    <w:bookmarkStart w:id="99"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8">
        <w:r>
          <w:rPr>
            <w:rStyle w:val="Hyperlink"/>
          </w:rPr>
          <w:t xml:space="preserve">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London; New York: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1">
        <w:r>
          <w:rPr>
            <w:rStyle w:val="Hyperlink"/>
          </w:rPr>
          <w:t xml:space="preserve">10.1007/s10021-020-00501-y</w:t>
        </w:r>
      </w:hyperlink>
    </w:p>
    <w:bookmarkEnd w:id="102"/>
    <w:bookmarkStart w:id="104"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3">
        <w:r>
          <w:rPr>
            <w:rStyle w:val="Hyperlink"/>
          </w:rPr>
          <w:t xml:space="preserve">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5">
        <w:r>
          <w:rPr>
            <w:rStyle w:val="Hyperlink"/>
          </w:rPr>
          <w:t xml:space="preserve">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7">
        <w:r>
          <w:rPr>
            <w:rStyle w:val="Hyperlink"/>
          </w:rPr>
          <w:t xml:space="preserve">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9">
        <w:r>
          <w:rPr>
            <w:rStyle w:val="Hyperlink"/>
          </w:rPr>
          <w:t xml:space="preserve">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1">
        <w:r>
          <w:rPr>
            <w:rStyle w:val="Hyperlink"/>
          </w:rPr>
          <w:t xml:space="preserve">10.1038/s41597-020-0453-3</w:t>
        </w:r>
      </w:hyperlink>
    </w:p>
    <w:bookmarkEnd w:id="112"/>
    <w:bookmarkStart w:id="114"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3">
        <w:r>
          <w:rPr>
            <w:rStyle w:val="Hyperlink"/>
          </w:rPr>
          <w:t xml:space="preserve">10.1111/nph.15906</w:t>
        </w:r>
      </w:hyperlink>
    </w:p>
    <w:bookmarkEnd w:id="114"/>
    <w:bookmarkStart w:id="115"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6">
        <w:r>
          <w:rPr>
            <w:rStyle w:val="Hyperlink"/>
          </w:rPr>
          <w:t xml:space="preserve">10.1038/s41467-018-07800-y</w:t>
        </w:r>
      </w:hyperlink>
    </w:p>
    <w:bookmarkEnd w:id="117"/>
    <w:bookmarkStart w:id="119"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8">
        <w:r>
          <w:rPr>
            <w:rStyle w:val="Hyperlink"/>
          </w:rPr>
          <w:t xml:space="preserve">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20">
        <w:r>
          <w:rPr>
            <w:rStyle w:val="Hyperlink"/>
          </w:rPr>
          <w:t xml:space="preserve">10.1111/gcb.14273</w:t>
        </w:r>
      </w:hyperlink>
    </w:p>
    <w:bookmarkEnd w:id="121"/>
    <w:bookmarkStart w:id="123" w:name="ref-maxwell_increased_2017"/>
    <w:p>
      <w:pPr>
        <w:pStyle w:val="Bibliography"/>
      </w:pPr>
      <w:r>
        <w:t xml:space="preserve">Maxwell, J. T., &amp; Harley, G. L. (2017). Increased tree-ring network density reveals more precise estimations of sub-regional hydroclimate variability and climate dynamics in the Midwest, USA.</w:t>
      </w:r>
      <w:r>
        <w:t xml:space="preserve"> </w:t>
      </w:r>
      <w:r>
        <w:rPr>
          <w:i/>
        </w:rPr>
        <w:t xml:space="preserve">Climate Dynamics</w:t>
      </w:r>
      <w:r>
        <w:t xml:space="preserve">,</w:t>
      </w:r>
      <w:r>
        <w:t xml:space="preserve"> </w:t>
      </w:r>
      <w:r>
        <w:rPr>
          <w:i/>
        </w:rPr>
        <w:t xml:space="preserve">49</w:t>
      </w:r>
      <w:r>
        <w:t xml:space="preserve">(4), 1479–1493. doi:</w:t>
      </w:r>
      <w:hyperlink r:id="rId122">
        <w:r>
          <w:rPr>
            <w:rStyle w:val="Hyperlink"/>
          </w:rPr>
          <w:t xml:space="preserve">10.1007/s00382-016-3396-9</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4">
        <w:r>
          <w:rPr>
            <w:rStyle w:val="Hyperlink"/>
          </w:rPr>
          <w:t xml:space="preserve">10.1007/s10584-016-1720-3</w:t>
        </w:r>
      </w:hyperlink>
    </w:p>
    <w:bookmarkEnd w:id="125"/>
    <w:bookmarkStart w:id="127"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6">
        <w:r>
          <w:rPr>
            <w:rStyle w:val="Hyperlink"/>
          </w:rPr>
          <w:t xml:space="preserve">10.1126/science.aaz9463</w:t>
        </w:r>
      </w:hyperlink>
    </w:p>
    <w:bookmarkEnd w:id="127"/>
    <w:bookmarkStart w:id="129"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8">
        <w:r>
          <w:rPr>
            <w:rStyle w:val="Hyperlink"/>
          </w:rPr>
          <w:t xml:space="preserve">10.1111/nph.16996</w:t>
        </w:r>
      </w:hyperlink>
    </w:p>
    <w:bookmarkEnd w:id="129"/>
    <w:bookmarkStart w:id="130"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paton_barro_2019"/>
    <w:p>
      <w:pPr>
        <w:pStyle w:val="Bibliography"/>
      </w:pPr>
      <w:r>
        <w:t xml:space="preserve">Paton, S. (2019, October). Barro Colorado Island, Clearing_Precipitation, manual. The Smithsonian Institution. doi:</w:t>
      </w:r>
      <w:hyperlink r:id="rId131">
        <w:r>
          <w:rPr>
            <w:rStyle w:val="Hyperlink"/>
          </w:rPr>
          <w:t xml:space="preserve">10.25573/data.10042502.v3</w:t>
        </w:r>
      </w:hyperlink>
    </w:p>
    <w:bookmarkEnd w:id="132"/>
    <w:bookmarkStart w:id="134" w:name="ref-pederson_is_2013"/>
    <w:p>
      <w:pPr>
        <w:pStyle w:val="Bibliography"/>
      </w:pPr>
      <w:r>
        <w:t xml:space="preserve">Pederson, N., Bell, A. R., Cook, E. R., Lall, U., Devineni, N., Seager, R., … Vranes, K. P. (2013). Is an Epic Pluvial Masking the Water Insecurity of the Greater New York City Region?,</w:t>
      </w:r>
      <w:r>
        <w:t xml:space="preserve"> </w:t>
      </w:r>
      <w:r>
        <w:rPr>
          <w:i/>
        </w:rPr>
        <w:t xml:space="preserve">Journal of Climate</w:t>
      </w:r>
      <w:r>
        <w:t xml:space="preserve">,</w:t>
      </w:r>
      <w:r>
        <w:t xml:space="preserve"> </w:t>
      </w:r>
      <w:r>
        <w:rPr>
          <w:i/>
        </w:rPr>
        <w:t xml:space="preserve">26</w:t>
      </w:r>
      <w:r>
        <w:t xml:space="preserve">(4), 1339–1354. doi:</w:t>
      </w:r>
      <w:hyperlink r:id="rId133">
        <w:r>
          <w:rPr>
            <w:rStyle w:val="Hyperlink"/>
          </w:rPr>
          <w:t xml:space="preserve">10.1175/JCLI-D-11-00723.1</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5">
        <w:r>
          <w:rPr>
            <w:rStyle w:val="Hyperlink"/>
          </w:rPr>
          <w:t xml:space="preserve">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7">
        <w:r>
          <w:rPr>
            <w:rStyle w:val="Hyperlink"/>
          </w:rPr>
          <w:t xml:space="preserve">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9">
        <w:r>
          <w:rPr>
            <w:rStyle w:val="Hyperlink"/>
          </w:rPr>
          <w:t xml:space="preserve">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41">
        <w:r>
          <w:rPr>
            <w:rStyle w:val="Hyperlink"/>
          </w:rPr>
          <w:t xml:space="preserve">10.1002/2016JG003528</w:t>
        </w:r>
      </w:hyperlink>
    </w:p>
    <w:bookmarkEnd w:id="142"/>
    <w:bookmarkStart w:id="144"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43">
        <w:r>
          <w:rPr>
            <w:rStyle w:val="Hyperlink"/>
          </w:rPr>
          <w:t xml:space="preserve">10.1038/nature12914</w:t>
        </w:r>
      </w:hyperlink>
    </w:p>
    <w:bookmarkEnd w:id="144"/>
    <w:bookmarkStart w:id="146"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5">
        <w:r>
          <w:rPr>
            <w:rStyle w:val="Hyperlink"/>
          </w:rPr>
          <w:t xml:space="preserve">10.1126/science.aaw7578</w:t>
        </w:r>
      </w:hyperlink>
    </w:p>
    <w:bookmarkEnd w:id="146"/>
    <w:bookmarkStart w:id="148"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7">
        <w:r>
          <w:rPr>
            <w:rStyle w:val="Hyperlink"/>
          </w:rPr>
          <w:t xml:space="preserve">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9">
        <w:r>
          <w:rPr>
            <w:rStyle w:val="Hyperlink"/>
          </w:rPr>
          <w:t xml:space="preserve">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51">
        <w:r>
          <w:rPr>
            <w:rStyle w:val="Hyperlink"/>
          </w:rPr>
          <w:t xml:space="preserve">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53">
        <w:r>
          <w:rPr>
            <w:rStyle w:val="Hyperlink"/>
          </w:rPr>
          <w:t xml:space="preserve">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5">
        <w:r>
          <w:rPr>
            <w:rStyle w:val="Hyperlink"/>
          </w:rPr>
          <w:t xml:space="preserve">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7">
        <w:r>
          <w:rPr>
            <w:rStyle w:val="Hyperlink"/>
          </w:rPr>
          <w:t xml:space="preserve">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9">
        <w:r>
          <w:rPr>
            <w:rStyle w:val="Hyperlink"/>
          </w:rPr>
          <w:t xml:space="preserve">10.1007/s00442-013-2846-x</w:t>
        </w:r>
      </w:hyperlink>
    </w:p>
    <w:bookmarkEnd w:id="160"/>
    <w:bookmarkStart w:id="162"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61">
        <w:r>
          <w:rPr>
            <w:rStyle w:val="Hyperlink"/>
          </w:rPr>
          <w:t xml:space="preserve">10.1111/nph.16866</w:t>
        </w:r>
      </w:hyperlink>
    </w:p>
    <w:bookmarkEnd w:id="162"/>
    <w:bookmarkStart w:id="164"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63">
        <w:r>
          <w:rPr>
            <w:rStyle w:val="Hyperlink"/>
          </w:rPr>
          <w:t xml:space="preserve">10.1111/gcb.15057</w:t>
        </w:r>
      </w:hyperlink>
    </w:p>
    <w:bookmarkEnd w:id="164"/>
    <w:bookmarkStart w:id="166"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5">
        <w:r>
          <w:rPr>
            <w:rStyle w:val="Hyperlink"/>
          </w:rPr>
          <w:t xml:space="preserve">10.1111/ecog.01335</w:t>
        </w:r>
      </w:hyperlink>
    </w:p>
    <w:bookmarkEnd w:id="166"/>
    <w:bookmarkEnd w:id="167"/>
    <w:bookmarkEnd w:id="1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2020-11-16T12:40:59Z</dcterms:created>
  <dcterms:modified xsi:type="dcterms:W3CDTF">2020-11-16T12:40:59Z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